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64" w:rsidRPr="005E5B64" w:rsidRDefault="005E5B64" w:rsidP="005E5B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5B6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EDCCBF" wp14:editId="2AD497C6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B64" w:rsidRPr="005E5B64" w:rsidRDefault="005E5B64" w:rsidP="005E5B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5B64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E5B64" w:rsidRPr="005E5B64" w:rsidRDefault="005E5B64" w:rsidP="005E5B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5B64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E5B64" w:rsidRPr="005E5B64" w:rsidRDefault="005E5B64" w:rsidP="005E5B64">
      <w:pPr>
        <w:tabs>
          <w:tab w:val="left" w:pos="56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5B64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E5B64" w:rsidRPr="005E5B64" w:rsidRDefault="005E5B64" w:rsidP="005E5B6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B64">
        <w:rPr>
          <w:rFonts w:ascii="Times New Roman" w:eastAsia="Times New Roman" w:hAnsi="Times New Roman"/>
          <w:sz w:val="24"/>
          <w:szCs w:val="28"/>
          <w:lang w:eastAsia="ru-RU"/>
        </w:rPr>
        <w:t>14.12.2023  г. № 14/0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5</w:t>
      </w:r>
    </w:p>
    <w:p w:rsidR="009F3064" w:rsidRPr="001F58A3" w:rsidRDefault="001D5D3F" w:rsidP="00C82D00">
      <w:pPr>
        <w:tabs>
          <w:tab w:val="left" w:pos="5812"/>
        </w:tabs>
        <w:spacing w:after="0" w:line="240" w:lineRule="auto"/>
        <w:ind w:right="3825"/>
        <w:jc w:val="both"/>
        <w:rPr>
          <w:rFonts w:ascii="Times New Roman" w:hAnsi="Times New Roman"/>
          <w:b/>
          <w:sz w:val="28"/>
          <w:szCs w:val="28"/>
        </w:rPr>
      </w:pPr>
      <w:r w:rsidRPr="001D5D3F">
        <w:rPr>
          <w:rFonts w:ascii="Times New Roman" w:hAnsi="Times New Roman"/>
          <w:b/>
          <w:color w:val="000000"/>
          <w:sz w:val="28"/>
          <w:szCs w:val="28"/>
        </w:rPr>
        <w:t>О направлении сре</w:t>
      </w:r>
      <w:proofErr w:type="gramStart"/>
      <w:r w:rsidRPr="001D5D3F">
        <w:rPr>
          <w:rFonts w:ascii="Times New Roman" w:hAnsi="Times New Roman"/>
          <w:b/>
          <w:color w:val="000000"/>
          <w:sz w:val="28"/>
          <w:szCs w:val="28"/>
        </w:rPr>
        <w:t>дств ст</w:t>
      </w:r>
      <w:proofErr w:type="gramEnd"/>
      <w:r w:rsidRPr="001D5D3F">
        <w:rPr>
          <w:rFonts w:ascii="Times New Roman" w:hAnsi="Times New Roman"/>
          <w:b/>
          <w:color w:val="000000"/>
          <w:sz w:val="28"/>
          <w:szCs w:val="28"/>
        </w:rPr>
        <w:t>имулирования управы района Богородское города Москвы на реализацию мероприятий по бла</w:t>
      </w:r>
      <w:r w:rsidR="002D4AEB">
        <w:rPr>
          <w:rFonts w:ascii="Times New Roman" w:hAnsi="Times New Roman"/>
          <w:b/>
          <w:color w:val="000000"/>
          <w:sz w:val="28"/>
          <w:szCs w:val="28"/>
        </w:rPr>
        <w:t>гоустройству дворовых территорий</w:t>
      </w:r>
      <w:r w:rsidRPr="001D5D3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82D00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C82D00" w:rsidRPr="00C82D00">
        <w:rPr>
          <w:rFonts w:ascii="Times New Roman" w:hAnsi="Times New Roman"/>
          <w:b/>
          <w:color w:val="000000"/>
          <w:sz w:val="28"/>
          <w:szCs w:val="28"/>
        </w:rPr>
        <w:t>обустройству улиц, содержание которых осуществляет Государственное бюджетное учреждение города Москвы «</w:t>
      </w:r>
      <w:proofErr w:type="spellStart"/>
      <w:r w:rsidR="00C82D00" w:rsidRPr="00C82D00">
        <w:rPr>
          <w:rFonts w:ascii="Times New Roman" w:hAnsi="Times New Roman"/>
          <w:b/>
          <w:color w:val="000000"/>
          <w:sz w:val="28"/>
          <w:szCs w:val="28"/>
        </w:rPr>
        <w:t>Жилищник</w:t>
      </w:r>
      <w:proofErr w:type="spellEnd"/>
      <w:r w:rsidR="00C82D00" w:rsidRPr="00C82D00">
        <w:rPr>
          <w:rFonts w:ascii="Times New Roman" w:hAnsi="Times New Roman"/>
          <w:b/>
          <w:color w:val="000000"/>
          <w:sz w:val="28"/>
          <w:szCs w:val="28"/>
        </w:rPr>
        <w:t xml:space="preserve"> района Богородское»</w:t>
      </w:r>
      <w:r w:rsidR="00C82D0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D5D3F">
        <w:rPr>
          <w:rFonts w:ascii="Times New Roman" w:hAnsi="Times New Roman"/>
          <w:b/>
          <w:color w:val="000000"/>
          <w:sz w:val="28"/>
          <w:szCs w:val="28"/>
        </w:rPr>
        <w:t xml:space="preserve">на территории района Богородское </w:t>
      </w:r>
    </w:p>
    <w:p w:rsidR="00413868" w:rsidRDefault="009F3064" w:rsidP="006F169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849-ПП «О стимулировании управ районов города Москвы» и</w:t>
      </w:r>
      <w:r w:rsidR="00B51534"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AB709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66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70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093">
        <w:rPr>
          <w:rFonts w:ascii="Times New Roman" w:eastAsia="Times New Roman" w:hAnsi="Times New Roman"/>
          <w:sz w:val="28"/>
          <w:szCs w:val="28"/>
          <w:lang w:eastAsia="ru-RU"/>
        </w:rPr>
        <w:t>989</w:t>
      </w:r>
      <w:r w:rsidR="00F6110F" w:rsidRPr="001F58A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70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922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3064" w:rsidRPr="00413868" w:rsidRDefault="009F3064" w:rsidP="0041386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B179EF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>Согласовать направление сре</w:t>
      </w:r>
      <w:proofErr w:type="gramStart"/>
      <w:r w:rsidR="005943DA"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="005943DA" w:rsidRPr="00410769">
        <w:rPr>
          <w:rFonts w:ascii="Times New Roman" w:hAnsi="Times New Roman"/>
          <w:sz w:val="28"/>
          <w:szCs w:val="28"/>
        </w:rPr>
        <w:t xml:space="preserve">имулирования </w:t>
      </w:r>
      <w:r w:rsidR="005943DA" w:rsidRPr="004631AA">
        <w:rPr>
          <w:rFonts w:ascii="Times New Roman" w:hAnsi="Times New Roman"/>
          <w:sz w:val="28"/>
          <w:szCs w:val="28"/>
        </w:rPr>
        <w:t xml:space="preserve">управы </w:t>
      </w:r>
      <w:r w:rsidR="005943DA">
        <w:rPr>
          <w:rFonts w:ascii="Times New Roman" w:hAnsi="Times New Roman"/>
          <w:sz w:val="28"/>
          <w:szCs w:val="28"/>
        </w:rPr>
        <w:t>района Богородское</w:t>
      </w:r>
      <w:r w:rsidR="005943DA"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="00EB74B9">
        <w:rPr>
          <w:rFonts w:ascii="Times New Roman" w:hAnsi="Times New Roman"/>
          <w:sz w:val="28"/>
          <w:szCs w:val="28"/>
        </w:rPr>
        <w:t xml:space="preserve"> в размере </w:t>
      </w:r>
      <w:r w:rsidR="001D5D3F">
        <w:rPr>
          <w:rFonts w:ascii="Times New Roman" w:hAnsi="Times New Roman"/>
          <w:sz w:val="28"/>
          <w:szCs w:val="28"/>
        </w:rPr>
        <w:t>16 764 644,07</w:t>
      </w:r>
      <w:r w:rsidR="00EB74B9">
        <w:rPr>
          <w:rFonts w:ascii="Times New Roman" w:hAnsi="Times New Roman"/>
          <w:sz w:val="28"/>
          <w:szCs w:val="28"/>
        </w:rPr>
        <w:t xml:space="preserve"> рублей, </w:t>
      </w:r>
      <w:r w:rsidR="001D5D3F" w:rsidRPr="001D5D3F">
        <w:rPr>
          <w:rFonts w:ascii="Times New Roman" w:hAnsi="Times New Roman"/>
          <w:sz w:val="28"/>
          <w:szCs w:val="28"/>
        </w:rPr>
        <w:t>образовавшихся за счет экономии бюджетных средств в результате проведения конкурсных процедур</w:t>
      </w:r>
      <w:r w:rsidR="00B179EF">
        <w:rPr>
          <w:rFonts w:ascii="Times New Roman" w:hAnsi="Times New Roman"/>
          <w:sz w:val="28"/>
          <w:szCs w:val="28"/>
        </w:rPr>
        <w:t xml:space="preserve"> </w:t>
      </w:r>
      <w:r w:rsidR="001D5D3F" w:rsidRPr="001D5D3F">
        <w:rPr>
          <w:rFonts w:ascii="Times New Roman" w:hAnsi="Times New Roman"/>
          <w:sz w:val="28"/>
          <w:szCs w:val="28"/>
        </w:rPr>
        <w:t xml:space="preserve">на реализацию мероприятий </w:t>
      </w:r>
      <w:r w:rsidR="002D4AEB">
        <w:rPr>
          <w:rFonts w:ascii="Times New Roman" w:hAnsi="Times New Roman"/>
          <w:sz w:val="28"/>
          <w:szCs w:val="28"/>
        </w:rPr>
        <w:t>в 2024 году</w:t>
      </w:r>
      <w:r w:rsidR="00B179EF">
        <w:rPr>
          <w:rFonts w:ascii="Times New Roman" w:hAnsi="Times New Roman"/>
          <w:sz w:val="28"/>
          <w:szCs w:val="28"/>
        </w:rPr>
        <w:t>:</w:t>
      </w:r>
    </w:p>
    <w:p w:rsidR="002D4AEB" w:rsidRDefault="002D4AEB" w:rsidP="002D4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2D4AEB">
        <w:rPr>
          <w:rFonts w:ascii="Times New Roman" w:hAnsi="Times New Roman"/>
          <w:sz w:val="28"/>
          <w:szCs w:val="28"/>
        </w:rPr>
        <w:t>по благоустройству дворовых территорий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 1 к настоящему решению;</w:t>
      </w:r>
    </w:p>
    <w:p w:rsidR="002D4AEB" w:rsidRDefault="002D4AEB" w:rsidP="002D4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C82D00">
        <w:rPr>
          <w:rFonts w:ascii="Times New Roman" w:hAnsi="Times New Roman"/>
          <w:sz w:val="28"/>
          <w:szCs w:val="28"/>
        </w:rPr>
        <w:t xml:space="preserve">по </w:t>
      </w:r>
      <w:r w:rsidRPr="002D4AEB">
        <w:rPr>
          <w:rFonts w:ascii="Times New Roman" w:hAnsi="Times New Roman"/>
          <w:sz w:val="28"/>
          <w:szCs w:val="28"/>
        </w:rPr>
        <w:t>обустройству улиц, содержание которых осуществляет Государственное бюджетное учреждение города Москвы «</w:t>
      </w:r>
      <w:proofErr w:type="spellStart"/>
      <w:r w:rsidRPr="002D4AEB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2D4AEB">
        <w:rPr>
          <w:rFonts w:ascii="Times New Roman" w:hAnsi="Times New Roman"/>
          <w:sz w:val="28"/>
          <w:szCs w:val="28"/>
        </w:rPr>
        <w:t xml:space="preserve"> района Богородское»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 2 к настоящему решению.</w:t>
      </w:r>
    </w:p>
    <w:p w:rsidR="00413868" w:rsidRPr="00413868" w:rsidRDefault="00413868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2D00" w:rsidRPr="00C82D00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868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главу муниципального округа Богородское в городе Москве Воловика К.Е.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F5B6B"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81B11">
        <w:rPr>
          <w:rFonts w:ascii="Times New Roman" w:hAnsi="Times New Roman"/>
          <w:sz w:val="28"/>
          <w:szCs w:val="28"/>
        </w:rPr>
        <w:t>1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 w:rsidR="00181B11">
        <w:rPr>
          <w:rFonts w:ascii="Times New Roman" w:hAnsi="Times New Roman"/>
          <w:sz w:val="28"/>
          <w:szCs w:val="28"/>
        </w:rPr>
        <w:t>14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81B11">
        <w:rPr>
          <w:rFonts w:ascii="Times New Roman" w:hAnsi="Times New Roman"/>
          <w:sz w:val="28"/>
          <w:szCs w:val="28"/>
        </w:rPr>
        <w:t>3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5E5B64">
        <w:rPr>
          <w:rFonts w:ascii="Times New Roman" w:hAnsi="Times New Roman"/>
          <w:sz w:val="28"/>
          <w:szCs w:val="28"/>
        </w:rPr>
        <w:t>14/05</w:t>
      </w:r>
    </w:p>
    <w:p w:rsidR="00AB7093" w:rsidRDefault="00AB7093" w:rsidP="00181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1B11" w:rsidRPr="00181B11" w:rsidRDefault="00181B11" w:rsidP="00181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B11">
        <w:rPr>
          <w:rFonts w:ascii="Times New Roman" w:hAnsi="Times New Roman"/>
          <w:b/>
          <w:sz w:val="28"/>
          <w:szCs w:val="28"/>
        </w:rPr>
        <w:t>Мероприятия</w:t>
      </w:r>
    </w:p>
    <w:p w:rsidR="00181B11" w:rsidRPr="00181B11" w:rsidRDefault="00181B11" w:rsidP="00181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B11">
        <w:rPr>
          <w:rFonts w:ascii="Times New Roman" w:hAnsi="Times New Roman"/>
          <w:b/>
          <w:sz w:val="28"/>
          <w:szCs w:val="28"/>
        </w:rPr>
        <w:t>по благоустройству дворовых территорий в 202</w:t>
      </w:r>
      <w:r>
        <w:rPr>
          <w:rFonts w:ascii="Times New Roman" w:hAnsi="Times New Roman"/>
          <w:b/>
          <w:sz w:val="28"/>
          <w:szCs w:val="28"/>
        </w:rPr>
        <w:t>4</w:t>
      </w:r>
      <w:r w:rsidRPr="00181B11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81B11" w:rsidRPr="00181B11" w:rsidRDefault="00181B11" w:rsidP="00181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B11">
        <w:rPr>
          <w:rFonts w:ascii="Times New Roman" w:hAnsi="Times New Roman"/>
          <w:b/>
          <w:sz w:val="28"/>
          <w:szCs w:val="28"/>
        </w:rPr>
        <w:t xml:space="preserve">       за счет сре</w:t>
      </w:r>
      <w:proofErr w:type="gramStart"/>
      <w:r w:rsidRPr="00181B11">
        <w:rPr>
          <w:rFonts w:ascii="Times New Roman" w:hAnsi="Times New Roman"/>
          <w:b/>
          <w:sz w:val="28"/>
          <w:szCs w:val="28"/>
        </w:rPr>
        <w:t>дств ст</w:t>
      </w:r>
      <w:proofErr w:type="gramEnd"/>
      <w:r w:rsidRPr="00181B11">
        <w:rPr>
          <w:rFonts w:ascii="Times New Roman" w:hAnsi="Times New Roman"/>
          <w:b/>
          <w:sz w:val="28"/>
          <w:szCs w:val="28"/>
        </w:rPr>
        <w:t>имулирования управы района Богородское города Москвы</w:t>
      </w:r>
    </w:p>
    <w:p w:rsidR="00181B11" w:rsidRPr="00181B11" w:rsidRDefault="00181B11" w:rsidP="00181B1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8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4646"/>
        <w:gridCol w:w="31"/>
        <w:gridCol w:w="2218"/>
      </w:tblGrid>
      <w:tr w:rsidR="00181B11" w:rsidRPr="00181B11" w:rsidTr="004D32A8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B11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Функциональное назначение </w:t>
            </w:r>
          </w:p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11">
              <w:rPr>
                <w:rFonts w:ascii="Times New Roman" w:hAnsi="Times New Roman"/>
                <w:b/>
                <w:sz w:val="24"/>
                <w:szCs w:val="24"/>
              </w:rPr>
              <w:t>планируемых работ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</w:p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</w:t>
            </w:r>
          </w:p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 руб.)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02503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6 к. 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75 162,48</w:t>
            </w:r>
          </w:p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1 к. 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128 062,28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д. 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20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133 054,55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5 к.4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121 459,93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14 к.10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148 714,87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Глебовская ул. д. 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116 467,66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 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102 417,42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 к.6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11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48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240 383,22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3-я ул. д. 58, 58А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34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149 479,41</w:t>
            </w:r>
          </w:p>
        </w:tc>
      </w:tr>
      <w:tr w:rsidR="00181B11" w:rsidRPr="00181B11" w:rsidTr="004D32A8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3 к.4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161 074,02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4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113 085,48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4 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132 892,52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Краснобогатырская ул. д. 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20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73 471,38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д. 15, 17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43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201 533,66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д.1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147 023,78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Открытое шоссе д.3 к. 12; Рокоссовского Маршала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бульв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 д. 8 к.4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171 823,09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3 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134 664,63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6 к.11, 6 к.13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11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187 564,43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10 к.6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25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89 977,26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4/37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 18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74 316,93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6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99 880,78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4-я ул. д. 34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Санитарная обрезка –  16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67 714,58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д. 25, корп. 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41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180 035,52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1 к.7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124 680,09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Погонный пр. д. 12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105 718,60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Погонный пр. д. 3 к.1, 3 к.2, 3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56 965,51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Просторная ул., д. 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30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121 378,92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116 386,65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3 к.5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144 568,15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3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64 413,41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3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76 772,56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Погонный пр. д. 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104 873,05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4-я ул. д. 36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30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106 483,13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4-я ул. д. 43 к.5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97 425,15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4-я ул. д. 39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118 077,74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4-я ул. д. 43 к.6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70 170,21</w:t>
            </w:r>
          </w:p>
        </w:tc>
      </w:tr>
      <w:tr w:rsidR="00181B11" w:rsidRPr="00181B11" w:rsidTr="004D32A8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Гражданская 4-я ул. д. 39 к.6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102 336,41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5 к.10, 5 к.11, 5 к.13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20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125 606,65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28 к.1, 28 к.2, 28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169 367,46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Просторная ул. д. 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147 023,78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18, к. 12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181 807,63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30 к.2, 32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127 216,73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5 к.6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145 332,69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3-й пр. д. 24/2;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4-й пр. д. 2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71 861,30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4-й пр. д. 4 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104 027,50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4-й пр. д. 4 к.7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133 819,08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4-й пр. д. 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99 116,24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Черкизовская М. ул. д. 64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51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250 286,74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Миллионная ул. д. 12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83 374,91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1 к 12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111 475,40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бульв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 д. 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74 316,93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бульв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 д. 7 к.4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156 081,76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10 к.1, д. 10 к.2, д. 10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117 313,21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6 к.3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98 270,70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14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135 510,17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 д. 18 к.4, д. 18 к.5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109 865,31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д. 34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100 807,34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д. 25 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94 969,52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д. 22 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74 316,93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Яузская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аллея д. 4, 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137 965,80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Просторная ул. д. 15 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80 073,73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бульв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 д. 42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17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85 911,55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бульв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 д. 36/1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87 521,63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3 к 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56 965,51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3 к 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106 564,14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3 к 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25 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104 873,05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3 к 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92 513,89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3 к 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106 564,14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3 к 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19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77 618,10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5 к 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106 564,14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 д. 5 к 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94 969,52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Открытое шоссе д. 5 к. 9,12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36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133 738,07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Краснобогатырская ул. д. 75 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 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Санитарная обрезка – 22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109 865,31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Краснобогатырская ул. д. 75 к 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8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142 112,52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Краснобогатырская ул. д. 77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9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31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169 367,46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Краснобогатырская ул. д. 79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11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23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157 853,86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2-я Прогонная ул. д.10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5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24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116 467,66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3-я Гражданская д. 54А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Удаление аварийных/сухостойных деревьев – 2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Санитарная обрезка – 21 шт.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Вывоз порубочных остатков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>84 220,45</w:t>
            </w:r>
          </w:p>
        </w:tc>
      </w:tr>
      <w:tr w:rsidR="00181B11" w:rsidRPr="00181B11" w:rsidTr="004D32A8">
        <w:trPr>
          <w:trHeight w:val="2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AB7093" w:rsidRDefault="00181B11" w:rsidP="00AB709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9 224 007,97</w:t>
            </w:r>
          </w:p>
        </w:tc>
      </w:tr>
      <w:tr w:rsidR="00181B11" w:rsidRPr="00181B11" w:rsidTr="004D32A8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Бульвар Маршала Рокоссовского д. 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АБП  - 32,4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– 54 </w:t>
            </w:r>
            <w:proofErr w:type="spell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1B11" w:rsidRPr="00AB7093" w:rsidRDefault="00181B11" w:rsidP="00AB70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104 746,00  </w:t>
            </w:r>
          </w:p>
        </w:tc>
      </w:tr>
      <w:tr w:rsidR="00181B11" w:rsidRPr="00181B11" w:rsidTr="004D32A8">
        <w:trPr>
          <w:trHeight w:val="2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AB7093" w:rsidRDefault="00181B11" w:rsidP="00AB709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104 746,00</w:t>
            </w:r>
          </w:p>
        </w:tc>
      </w:tr>
      <w:tr w:rsidR="00181B11" w:rsidRPr="00181B11" w:rsidTr="004D32A8">
        <w:trPr>
          <w:trHeight w:val="1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before="24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1-я Гражданская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д.101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before="24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before="24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1-я Гражданская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д.95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before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before="24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before="24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1-я Гражданская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д.99к.1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before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Игральная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4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lastRenderedPageBreak/>
              <w:t>351 000,00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Игральная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Игральная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Игральная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д.6к.1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  <w:p w:rsidR="00AB7093" w:rsidRPr="00AB7093" w:rsidRDefault="00AB7093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Краснобогатырская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д.31к.2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5 баков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412 000,00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Краснобогатырская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д.75к.1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5 баков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412 000,00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3-я Гражданская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д.54А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5 баков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412 000,00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Краснобогатырская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д.79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6 баков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473 000,00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Краснобогатырская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д.79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5 баков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412 000,00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2-я Прогонная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lastRenderedPageBreak/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Игральная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3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Бойцовая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д.2/30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4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351 000,00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93" w:rsidRDefault="00AB7093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1B11" w:rsidRPr="00AB7093" w:rsidRDefault="00181B11" w:rsidP="00AB70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4-я Гражданская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д.34к.2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4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290 000,00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4-я Гражданская </w:t>
            </w:r>
            <w:proofErr w:type="spellStart"/>
            <w:proofErr w:type="gramStart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д.34к.1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контейнерной площадки: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Демонтаж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Устройство основания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Установка контейнерной площадки на 4 бака с инвентарной комнатой</w:t>
            </w:r>
            <w:r w:rsidRPr="00AB709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Вывоз мусора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11" w:rsidRPr="00AB7093" w:rsidRDefault="00181B11" w:rsidP="00AB709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093">
              <w:rPr>
                <w:rFonts w:ascii="Times New Roman" w:hAnsi="Times New Roman"/>
                <w:sz w:val="26"/>
                <w:szCs w:val="26"/>
              </w:rPr>
              <w:t>351 000,00</w:t>
            </w:r>
          </w:p>
        </w:tc>
      </w:tr>
      <w:tr w:rsidR="00181B11" w:rsidRPr="00181B11" w:rsidTr="004D32A8">
        <w:trPr>
          <w:trHeight w:val="2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AB7093" w:rsidRDefault="00181B11" w:rsidP="00AB709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AB7093" w:rsidRDefault="00181B11" w:rsidP="00AB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B709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5 784 000,000</w:t>
            </w:r>
          </w:p>
        </w:tc>
      </w:tr>
      <w:tr w:rsidR="00181B11" w:rsidRPr="00181B11" w:rsidTr="00AB7093">
        <w:trPr>
          <w:trHeight w:val="836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11" w:rsidRPr="00181B11" w:rsidRDefault="00181B11" w:rsidP="00AB7093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ВСЕМ ОБЪЕКТАМ: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B11" w:rsidRPr="00181B11" w:rsidRDefault="00181B11" w:rsidP="0018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1B1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15 112 753,97</w:t>
            </w:r>
          </w:p>
        </w:tc>
      </w:tr>
    </w:tbl>
    <w:p w:rsidR="00181B11" w:rsidRPr="00181B11" w:rsidRDefault="00181B11" w:rsidP="0018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181B11" w:rsidRPr="00181B11" w:rsidRDefault="00181B11" w:rsidP="0018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B7093" w:rsidRDefault="00AB7093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1B11" w:rsidRPr="00410769" w:rsidRDefault="00181B11" w:rsidP="00181B1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181B11" w:rsidRPr="00410769" w:rsidRDefault="00181B11" w:rsidP="00181B1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181B11" w:rsidRPr="00410769" w:rsidRDefault="00181B11" w:rsidP="00181B1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181B11" w:rsidRPr="00410769" w:rsidRDefault="00181B11" w:rsidP="00181B1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5E5B64">
        <w:rPr>
          <w:rFonts w:ascii="Times New Roman" w:hAnsi="Times New Roman"/>
          <w:sz w:val="28"/>
          <w:szCs w:val="28"/>
        </w:rPr>
        <w:t>14/05</w:t>
      </w:r>
      <w:bookmarkStart w:id="0" w:name="_GoBack"/>
      <w:bookmarkEnd w:id="0"/>
    </w:p>
    <w:p w:rsidR="00181B11" w:rsidRDefault="00181B1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87691" w:rsidRPr="0086174D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74D">
        <w:rPr>
          <w:rFonts w:ascii="Times New Roman" w:hAnsi="Times New Roman"/>
          <w:b/>
          <w:sz w:val="26"/>
          <w:szCs w:val="26"/>
        </w:rPr>
        <w:t>Мероприятия</w:t>
      </w:r>
    </w:p>
    <w:p w:rsidR="00587691" w:rsidRPr="0086174D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74D">
        <w:rPr>
          <w:rFonts w:ascii="Times New Roman" w:hAnsi="Times New Roman"/>
          <w:b/>
          <w:sz w:val="26"/>
          <w:szCs w:val="26"/>
        </w:rPr>
        <w:t xml:space="preserve">по </w:t>
      </w:r>
      <w:r w:rsidRPr="0086174D">
        <w:rPr>
          <w:b/>
          <w:i/>
          <w:sz w:val="26"/>
          <w:szCs w:val="26"/>
        </w:rPr>
        <w:t xml:space="preserve"> </w:t>
      </w:r>
      <w:r w:rsidR="005D741B" w:rsidRPr="0086174D">
        <w:rPr>
          <w:rFonts w:ascii="Times New Roman" w:hAnsi="Times New Roman"/>
          <w:b/>
          <w:sz w:val="26"/>
          <w:szCs w:val="26"/>
        </w:rPr>
        <w:t>обустройству улиц, содержание которых осуществляет Государственное бюджетное учреждение города Москвы «</w:t>
      </w:r>
      <w:proofErr w:type="spellStart"/>
      <w:r w:rsidR="005D741B" w:rsidRPr="0086174D">
        <w:rPr>
          <w:rFonts w:ascii="Times New Roman" w:hAnsi="Times New Roman"/>
          <w:b/>
          <w:sz w:val="26"/>
          <w:szCs w:val="26"/>
        </w:rPr>
        <w:t>Жилищник</w:t>
      </w:r>
      <w:proofErr w:type="spellEnd"/>
      <w:r w:rsidR="005D741B" w:rsidRPr="0086174D">
        <w:rPr>
          <w:rFonts w:ascii="Times New Roman" w:hAnsi="Times New Roman"/>
          <w:b/>
          <w:sz w:val="26"/>
          <w:szCs w:val="26"/>
        </w:rPr>
        <w:t xml:space="preserve"> района Богородское»</w:t>
      </w:r>
      <w:r w:rsidRPr="0086174D">
        <w:rPr>
          <w:rFonts w:ascii="Times New Roman" w:hAnsi="Times New Roman"/>
          <w:b/>
          <w:sz w:val="26"/>
          <w:szCs w:val="26"/>
        </w:rPr>
        <w:t xml:space="preserve">  в 202</w:t>
      </w:r>
      <w:r w:rsidR="00181B11">
        <w:rPr>
          <w:rFonts w:ascii="Times New Roman" w:hAnsi="Times New Roman"/>
          <w:b/>
          <w:sz w:val="26"/>
          <w:szCs w:val="26"/>
        </w:rPr>
        <w:t>4</w:t>
      </w:r>
      <w:r w:rsidRPr="0086174D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74D">
        <w:rPr>
          <w:rFonts w:ascii="Times New Roman" w:hAnsi="Times New Roman"/>
          <w:b/>
          <w:sz w:val="26"/>
          <w:szCs w:val="26"/>
        </w:rPr>
        <w:t>за счет средств стимулирования управы района Богородское города Москвы</w:t>
      </w:r>
    </w:p>
    <w:p w:rsidR="00587691" w:rsidRPr="00410769" w:rsidRDefault="00587691" w:rsidP="0058769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87691" w:rsidRDefault="00587691" w:rsidP="00587691">
      <w:pPr>
        <w:pStyle w:val="ConsPlusNormal"/>
        <w:jc w:val="center"/>
        <w:rPr>
          <w:i w:val="0"/>
        </w:rPr>
      </w:pPr>
    </w:p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617"/>
        <w:gridCol w:w="3274"/>
        <w:gridCol w:w="4349"/>
        <w:gridCol w:w="2533"/>
      </w:tblGrid>
      <w:tr w:rsidR="00AB7093" w:rsidTr="00AB7093">
        <w:trPr>
          <w:trHeight w:val="5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Функциональное назначение </w:t>
            </w:r>
          </w:p>
          <w:p w:rsidR="00AB7093" w:rsidRDefault="00AB7093" w:rsidP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Ориентировочная</w:t>
            </w:r>
          </w:p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работ</w:t>
            </w:r>
          </w:p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 руб.)</w:t>
            </w:r>
          </w:p>
        </w:tc>
      </w:tr>
      <w:tr w:rsidR="00AB7093" w:rsidTr="00AB709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Мясниковская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ул. (круг)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парковки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598 199,74</w:t>
            </w:r>
          </w:p>
        </w:tc>
      </w:tr>
      <w:tr w:rsidR="00AB7093" w:rsidTr="00AB709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ул. Бойцовая, 22, к. 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пешеходного перехода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093" w:rsidRDefault="00AB709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236 903,22</w:t>
            </w:r>
          </w:p>
        </w:tc>
      </w:tr>
      <w:tr w:rsidR="00AB7093" w:rsidTr="00AB709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д. 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тротуара и пешеходного перехода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093" w:rsidRDefault="00AB709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579 884,8</w:t>
            </w:r>
          </w:p>
        </w:tc>
      </w:tr>
      <w:tr w:rsidR="00AB7093" w:rsidTr="00AB709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Через ул.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Лосиноостровская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пересечении со 2-м Белокаменным проездом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тротуара и пешеходного перехода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093" w:rsidRDefault="00AB709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236 903,22</w:t>
            </w:r>
          </w:p>
        </w:tc>
      </w:tr>
      <w:tr w:rsidR="00AB7093" w:rsidTr="00AB7093">
        <w:trPr>
          <w:trHeight w:val="836"/>
        </w:trPr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ВСЕМ ОБЪЕКТАМ: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93" w:rsidRDefault="00AB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1 651 890,98</w:t>
            </w:r>
          </w:p>
        </w:tc>
      </w:tr>
    </w:tbl>
    <w:p w:rsidR="00861915" w:rsidRPr="00861915" w:rsidRDefault="00861915" w:rsidP="005876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1915" w:rsidRPr="00861915" w:rsidSect="004D32A8">
      <w:pgSz w:w="11906" w:h="16838"/>
      <w:pgMar w:top="567" w:right="851" w:bottom="851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1E" w:rsidRDefault="00B4061E" w:rsidP="00E03C5D">
      <w:pPr>
        <w:spacing w:after="0" w:line="240" w:lineRule="auto"/>
      </w:pPr>
      <w:r>
        <w:separator/>
      </w:r>
    </w:p>
  </w:endnote>
  <w:endnote w:type="continuationSeparator" w:id="0">
    <w:p w:rsidR="00B4061E" w:rsidRDefault="00B4061E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1E" w:rsidRDefault="00B4061E" w:rsidP="00E03C5D">
      <w:pPr>
        <w:spacing w:after="0" w:line="240" w:lineRule="auto"/>
      </w:pPr>
      <w:r>
        <w:separator/>
      </w:r>
    </w:p>
  </w:footnote>
  <w:footnote w:type="continuationSeparator" w:id="0">
    <w:p w:rsidR="00B4061E" w:rsidRDefault="00B4061E" w:rsidP="00E0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DC1670"/>
    <w:multiLevelType w:val="hybridMultilevel"/>
    <w:tmpl w:val="16A2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25030"/>
    <w:rsid w:val="000302DA"/>
    <w:rsid w:val="00044218"/>
    <w:rsid w:val="000528AF"/>
    <w:rsid w:val="00055F82"/>
    <w:rsid w:val="000560E6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30036"/>
    <w:rsid w:val="00131BB0"/>
    <w:rsid w:val="00136657"/>
    <w:rsid w:val="0016021A"/>
    <w:rsid w:val="00167FC2"/>
    <w:rsid w:val="00181B11"/>
    <w:rsid w:val="0019041B"/>
    <w:rsid w:val="00190D1D"/>
    <w:rsid w:val="001B0775"/>
    <w:rsid w:val="001C0F34"/>
    <w:rsid w:val="001C1314"/>
    <w:rsid w:val="001C60C7"/>
    <w:rsid w:val="001D5D3F"/>
    <w:rsid w:val="001D7A27"/>
    <w:rsid w:val="001F58A3"/>
    <w:rsid w:val="00203E3D"/>
    <w:rsid w:val="00206EB7"/>
    <w:rsid w:val="00243642"/>
    <w:rsid w:val="002528C4"/>
    <w:rsid w:val="002619BE"/>
    <w:rsid w:val="00275C59"/>
    <w:rsid w:val="00283B6A"/>
    <w:rsid w:val="0028735D"/>
    <w:rsid w:val="002A5547"/>
    <w:rsid w:val="002A61F7"/>
    <w:rsid w:val="002B0E83"/>
    <w:rsid w:val="002B2789"/>
    <w:rsid w:val="002B3CDE"/>
    <w:rsid w:val="002B5BEC"/>
    <w:rsid w:val="002D4AEB"/>
    <w:rsid w:val="00305ADF"/>
    <w:rsid w:val="00325032"/>
    <w:rsid w:val="00326FDC"/>
    <w:rsid w:val="003372E4"/>
    <w:rsid w:val="00337F39"/>
    <w:rsid w:val="00340990"/>
    <w:rsid w:val="003428D5"/>
    <w:rsid w:val="003500D5"/>
    <w:rsid w:val="003506AA"/>
    <w:rsid w:val="00354106"/>
    <w:rsid w:val="00365A49"/>
    <w:rsid w:val="00366659"/>
    <w:rsid w:val="003701A5"/>
    <w:rsid w:val="003858D1"/>
    <w:rsid w:val="003A0290"/>
    <w:rsid w:val="003B1E2F"/>
    <w:rsid w:val="003C41EB"/>
    <w:rsid w:val="003C457D"/>
    <w:rsid w:val="003F41F6"/>
    <w:rsid w:val="00413868"/>
    <w:rsid w:val="00442802"/>
    <w:rsid w:val="00450746"/>
    <w:rsid w:val="004600EE"/>
    <w:rsid w:val="0046022C"/>
    <w:rsid w:val="0046206D"/>
    <w:rsid w:val="00497D13"/>
    <w:rsid w:val="004C6302"/>
    <w:rsid w:val="004D32A8"/>
    <w:rsid w:val="004E10D7"/>
    <w:rsid w:val="004E1812"/>
    <w:rsid w:val="0050275A"/>
    <w:rsid w:val="005122A3"/>
    <w:rsid w:val="00515A0A"/>
    <w:rsid w:val="00530E4F"/>
    <w:rsid w:val="00533CAE"/>
    <w:rsid w:val="00561223"/>
    <w:rsid w:val="005703A3"/>
    <w:rsid w:val="00587691"/>
    <w:rsid w:val="00593A33"/>
    <w:rsid w:val="005943DA"/>
    <w:rsid w:val="00596E64"/>
    <w:rsid w:val="005B4808"/>
    <w:rsid w:val="005B7DAE"/>
    <w:rsid w:val="005C0179"/>
    <w:rsid w:val="005D741B"/>
    <w:rsid w:val="005E200A"/>
    <w:rsid w:val="005E5B64"/>
    <w:rsid w:val="005E68A8"/>
    <w:rsid w:val="00627F15"/>
    <w:rsid w:val="00655E89"/>
    <w:rsid w:val="00660684"/>
    <w:rsid w:val="006A6311"/>
    <w:rsid w:val="006B60A2"/>
    <w:rsid w:val="006E0869"/>
    <w:rsid w:val="006F1695"/>
    <w:rsid w:val="00734631"/>
    <w:rsid w:val="00735800"/>
    <w:rsid w:val="00760A04"/>
    <w:rsid w:val="007A24BB"/>
    <w:rsid w:val="007B0C82"/>
    <w:rsid w:val="007B46F4"/>
    <w:rsid w:val="007B5C60"/>
    <w:rsid w:val="007C497B"/>
    <w:rsid w:val="00833A5D"/>
    <w:rsid w:val="00854442"/>
    <w:rsid w:val="0086174D"/>
    <w:rsid w:val="00861915"/>
    <w:rsid w:val="00862094"/>
    <w:rsid w:val="0088542E"/>
    <w:rsid w:val="008873B7"/>
    <w:rsid w:val="0089096B"/>
    <w:rsid w:val="00890986"/>
    <w:rsid w:val="0089475A"/>
    <w:rsid w:val="008A5108"/>
    <w:rsid w:val="008A7B9F"/>
    <w:rsid w:val="008B67CD"/>
    <w:rsid w:val="008C65F7"/>
    <w:rsid w:val="008E217E"/>
    <w:rsid w:val="008E2323"/>
    <w:rsid w:val="008F43F0"/>
    <w:rsid w:val="00900572"/>
    <w:rsid w:val="00921B8A"/>
    <w:rsid w:val="00921E25"/>
    <w:rsid w:val="00942F0F"/>
    <w:rsid w:val="009444A9"/>
    <w:rsid w:val="0095070A"/>
    <w:rsid w:val="0095326C"/>
    <w:rsid w:val="00980074"/>
    <w:rsid w:val="00986C9D"/>
    <w:rsid w:val="009903E8"/>
    <w:rsid w:val="00997B25"/>
    <w:rsid w:val="009A6B7A"/>
    <w:rsid w:val="009B037D"/>
    <w:rsid w:val="009D6A57"/>
    <w:rsid w:val="009F3064"/>
    <w:rsid w:val="009F38D0"/>
    <w:rsid w:val="009F3E53"/>
    <w:rsid w:val="009F44E9"/>
    <w:rsid w:val="00A445DA"/>
    <w:rsid w:val="00A864F5"/>
    <w:rsid w:val="00A86AFC"/>
    <w:rsid w:val="00AA0AD6"/>
    <w:rsid w:val="00AB25B6"/>
    <w:rsid w:val="00AB7093"/>
    <w:rsid w:val="00AD4B2A"/>
    <w:rsid w:val="00AD6356"/>
    <w:rsid w:val="00AE132B"/>
    <w:rsid w:val="00AF025E"/>
    <w:rsid w:val="00AF28B7"/>
    <w:rsid w:val="00B0619A"/>
    <w:rsid w:val="00B16595"/>
    <w:rsid w:val="00B179EF"/>
    <w:rsid w:val="00B22EE0"/>
    <w:rsid w:val="00B260F2"/>
    <w:rsid w:val="00B3004A"/>
    <w:rsid w:val="00B4061E"/>
    <w:rsid w:val="00B4309E"/>
    <w:rsid w:val="00B514E6"/>
    <w:rsid w:val="00B51534"/>
    <w:rsid w:val="00B51B23"/>
    <w:rsid w:val="00B627DC"/>
    <w:rsid w:val="00B7030E"/>
    <w:rsid w:val="00B75DD9"/>
    <w:rsid w:val="00B84E68"/>
    <w:rsid w:val="00BB1AB2"/>
    <w:rsid w:val="00BB3F61"/>
    <w:rsid w:val="00BE0900"/>
    <w:rsid w:val="00BF3AF4"/>
    <w:rsid w:val="00BF5E30"/>
    <w:rsid w:val="00C019BD"/>
    <w:rsid w:val="00C04E3A"/>
    <w:rsid w:val="00C0752A"/>
    <w:rsid w:val="00C41530"/>
    <w:rsid w:val="00C56502"/>
    <w:rsid w:val="00C63A3A"/>
    <w:rsid w:val="00C734ED"/>
    <w:rsid w:val="00C76BD8"/>
    <w:rsid w:val="00C80F67"/>
    <w:rsid w:val="00C82610"/>
    <w:rsid w:val="00C82D00"/>
    <w:rsid w:val="00C97394"/>
    <w:rsid w:val="00CA3413"/>
    <w:rsid w:val="00CE3412"/>
    <w:rsid w:val="00D13DA0"/>
    <w:rsid w:val="00D40FA0"/>
    <w:rsid w:val="00D61475"/>
    <w:rsid w:val="00D909CB"/>
    <w:rsid w:val="00D95D31"/>
    <w:rsid w:val="00DA01CB"/>
    <w:rsid w:val="00DB037D"/>
    <w:rsid w:val="00DB3E8D"/>
    <w:rsid w:val="00DB40C2"/>
    <w:rsid w:val="00DF21FA"/>
    <w:rsid w:val="00E03C5D"/>
    <w:rsid w:val="00E27CE0"/>
    <w:rsid w:val="00E45BB3"/>
    <w:rsid w:val="00E46850"/>
    <w:rsid w:val="00E92226"/>
    <w:rsid w:val="00E94ABB"/>
    <w:rsid w:val="00EA1E13"/>
    <w:rsid w:val="00EB74B9"/>
    <w:rsid w:val="00EC24BA"/>
    <w:rsid w:val="00EC3C36"/>
    <w:rsid w:val="00EE5A26"/>
    <w:rsid w:val="00EF5B6B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8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1B1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181B11"/>
  </w:style>
  <w:style w:type="table" w:customStyle="1" w:styleId="10">
    <w:name w:val="Сетка таблицы1"/>
    <w:basedOn w:val="a1"/>
    <w:next w:val="a9"/>
    <w:uiPriority w:val="59"/>
    <w:rsid w:val="00181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181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8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1B1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181B11"/>
  </w:style>
  <w:style w:type="table" w:customStyle="1" w:styleId="10">
    <w:name w:val="Сетка таблицы1"/>
    <w:basedOn w:val="a1"/>
    <w:next w:val="a9"/>
    <w:uiPriority w:val="59"/>
    <w:rsid w:val="00181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181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2A88-FF56-41CC-8DDD-0D019F7E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2022-12-27T04:58:00Z</cp:lastPrinted>
  <dcterms:created xsi:type="dcterms:W3CDTF">2022-12-27T05:04:00Z</dcterms:created>
  <dcterms:modified xsi:type="dcterms:W3CDTF">2023-12-18T07:13:00Z</dcterms:modified>
</cp:coreProperties>
</file>